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9D" w:rsidRPr="00AE2A9D" w:rsidRDefault="00AE2A9D" w:rsidP="00AE2A9D">
      <w:pPr>
        <w:jc w:val="center"/>
        <w:rPr>
          <w:b/>
          <w:sz w:val="32"/>
          <w:szCs w:val="32"/>
          <w:u w:val="single"/>
        </w:rPr>
      </w:pPr>
      <w:r w:rsidRPr="00AE2A9D">
        <w:rPr>
          <w:b/>
          <w:sz w:val="32"/>
          <w:szCs w:val="32"/>
          <w:u w:val="single"/>
        </w:rPr>
        <w:t xml:space="preserve">Important Information about </w:t>
      </w:r>
      <w:r w:rsidR="00ED6A08">
        <w:rPr>
          <w:b/>
          <w:sz w:val="32"/>
          <w:szCs w:val="32"/>
          <w:u w:val="single"/>
        </w:rPr>
        <w:t>Lead</w:t>
      </w:r>
      <w:r w:rsidRPr="00AE2A9D">
        <w:rPr>
          <w:b/>
          <w:sz w:val="32"/>
          <w:szCs w:val="32"/>
          <w:u w:val="single"/>
        </w:rPr>
        <w:t xml:space="preserve"> </w:t>
      </w:r>
      <w:r w:rsidR="000D21FB">
        <w:rPr>
          <w:b/>
          <w:sz w:val="32"/>
          <w:szCs w:val="32"/>
          <w:u w:val="single"/>
        </w:rPr>
        <w:t xml:space="preserve">and Copper </w:t>
      </w:r>
      <w:r w:rsidRPr="00AE2A9D">
        <w:rPr>
          <w:b/>
          <w:sz w:val="32"/>
          <w:szCs w:val="32"/>
          <w:u w:val="single"/>
        </w:rPr>
        <w:t>in your Drinking Water</w:t>
      </w:r>
    </w:p>
    <w:p w:rsidR="00AE2A9D" w:rsidRDefault="00AE2A9D" w:rsidP="00AE2A9D">
      <w:pPr>
        <w:jc w:val="center"/>
        <w:rPr>
          <w:sz w:val="32"/>
          <w:szCs w:val="32"/>
          <w:u w:val="single"/>
        </w:rPr>
      </w:pPr>
    </w:p>
    <w:p w:rsidR="00AE2A9D" w:rsidRDefault="00AE2A9D" w:rsidP="00AE2A9D">
      <w:pPr>
        <w:rPr>
          <w:rFonts w:asciiTheme="majorHAnsi" w:hAnsiTheme="majorHAnsi" w:cs="Times"/>
          <w:b/>
          <w:iCs/>
          <w:color w:val="231F20"/>
          <w:sz w:val="24"/>
          <w:szCs w:val="24"/>
        </w:rPr>
      </w:pPr>
      <w:r w:rsidRPr="00AE2A9D">
        <w:rPr>
          <w:sz w:val="24"/>
          <w:szCs w:val="24"/>
        </w:rPr>
        <w:t>**</w:t>
      </w:r>
      <w:r w:rsidRPr="00AE2A9D">
        <w:rPr>
          <w:b/>
          <w:sz w:val="24"/>
          <w:szCs w:val="24"/>
        </w:rPr>
        <w:t xml:space="preserve">Water System Name** </w:t>
      </w:r>
      <w:r w:rsidRPr="00AE2A9D">
        <w:rPr>
          <w:rFonts w:asciiTheme="majorHAnsi" w:hAnsiTheme="majorHAnsi" w:cs="Times"/>
          <w:b/>
          <w:iCs/>
          <w:color w:val="231F20"/>
          <w:sz w:val="24"/>
          <w:szCs w:val="24"/>
        </w:rPr>
        <w:t xml:space="preserve">found elevated levels of </w:t>
      </w:r>
      <w:r w:rsidR="00ED6A08">
        <w:rPr>
          <w:rFonts w:asciiTheme="majorHAnsi" w:hAnsiTheme="majorHAnsi" w:cs="Times"/>
          <w:b/>
          <w:iCs/>
          <w:color w:val="231F20"/>
          <w:sz w:val="24"/>
          <w:szCs w:val="24"/>
        </w:rPr>
        <w:t>lead</w:t>
      </w:r>
      <w:r w:rsidRPr="00AE2A9D">
        <w:rPr>
          <w:rFonts w:asciiTheme="majorHAnsi" w:hAnsiTheme="majorHAnsi" w:cs="Times"/>
          <w:b/>
          <w:iCs/>
          <w:color w:val="231F20"/>
          <w:sz w:val="24"/>
          <w:szCs w:val="24"/>
        </w:rPr>
        <w:t xml:space="preserve"> </w:t>
      </w:r>
      <w:r w:rsidR="000D21FB">
        <w:rPr>
          <w:rFonts w:asciiTheme="majorHAnsi" w:hAnsiTheme="majorHAnsi" w:cs="Times"/>
          <w:b/>
          <w:iCs/>
          <w:color w:val="231F20"/>
          <w:sz w:val="24"/>
          <w:szCs w:val="24"/>
        </w:rPr>
        <w:t xml:space="preserve">and or copper </w:t>
      </w:r>
      <w:r w:rsidRPr="00AE2A9D">
        <w:rPr>
          <w:rFonts w:asciiTheme="majorHAnsi" w:hAnsiTheme="majorHAnsi" w:cs="Times"/>
          <w:b/>
          <w:iCs/>
          <w:color w:val="231F20"/>
          <w:sz w:val="24"/>
          <w:szCs w:val="24"/>
        </w:rPr>
        <w:t>in drinking water in some homes/ buildings.</w:t>
      </w:r>
      <w:r w:rsidR="00C94D24">
        <w:rPr>
          <w:rFonts w:asciiTheme="majorHAnsi" w:hAnsiTheme="majorHAnsi" w:cs="Times"/>
          <w:b/>
          <w:iCs/>
          <w:color w:val="231F20"/>
          <w:sz w:val="24"/>
          <w:szCs w:val="24"/>
        </w:rPr>
        <w:t xml:space="preserve"> Elevated levels c</w:t>
      </w:r>
      <w:r w:rsidRPr="00AE2A9D">
        <w:rPr>
          <w:rFonts w:asciiTheme="majorHAnsi" w:hAnsiTheme="majorHAnsi" w:cs="Times"/>
          <w:b/>
          <w:iCs/>
          <w:color w:val="231F20"/>
          <w:sz w:val="24"/>
          <w:szCs w:val="24"/>
        </w:rPr>
        <w:t xml:space="preserve">opper </w:t>
      </w:r>
      <w:r w:rsidR="00C94D24">
        <w:rPr>
          <w:rFonts w:asciiTheme="majorHAnsi" w:hAnsiTheme="majorHAnsi" w:cs="Times"/>
          <w:b/>
          <w:iCs/>
          <w:color w:val="231F20"/>
          <w:sz w:val="24"/>
          <w:szCs w:val="24"/>
        </w:rPr>
        <w:t>ingested over long periods of time</w:t>
      </w:r>
      <w:r w:rsidR="00996BC8">
        <w:rPr>
          <w:rFonts w:asciiTheme="majorHAnsi" w:hAnsiTheme="majorHAnsi" w:cs="Times"/>
          <w:b/>
          <w:iCs/>
          <w:color w:val="231F20"/>
          <w:sz w:val="24"/>
          <w:szCs w:val="24"/>
        </w:rPr>
        <w:t xml:space="preserve"> </w:t>
      </w:r>
      <w:r w:rsidRPr="00AE2A9D">
        <w:rPr>
          <w:rFonts w:asciiTheme="majorHAnsi" w:hAnsiTheme="majorHAnsi" w:cs="Times"/>
          <w:b/>
          <w:iCs/>
          <w:color w:val="231F20"/>
          <w:sz w:val="24"/>
          <w:szCs w:val="24"/>
        </w:rPr>
        <w:t xml:space="preserve">can cause serious health problems, especially for pregnant women and young children. Please read this information closely to see what you can do to reduce </w:t>
      </w:r>
      <w:r w:rsidR="00ED6A08">
        <w:rPr>
          <w:rFonts w:asciiTheme="majorHAnsi" w:hAnsiTheme="majorHAnsi" w:cs="Times"/>
          <w:b/>
          <w:iCs/>
          <w:color w:val="231F20"/>
          <w:sz w:val="24"/>
          <w:szCs w:val="24"/>
        </w:rPr>
        <w:t>Lead</w:t>
      </w:r>
      <w:r w:rsidRPr="00AE2A9D">
        <w:rPr>
          <w:rFonts w:asciiTheme="majorHAnsi" w:hAnsiTheme="majorHAnsi" w:cs="Times"/>
          <w:b/>
          <w:iCs/>
          <w:color w:val="231F20"/>
          <w:sz w:val="24"/>
          <w:szCs w:val="24"/>
        </w:rPr>
        <w:t xml:space="preserve"> in your drinking water.</w:t>
      </w:r>
    </w:p>
    <w:p w:rsidR="00C94D24" w:rsidRDefault="00C94D24" w:rsidP="00AE2A9D">
      <w:pPr>
        <w:rPr>
          <w:rFonts w:asciiTheme="majorHAnsi" w:hAnsiTheme="majorHAnsi" w:cs="Times"/>
          <w:b/>
          <w:iCs/>
          <w:color w:val="231F20"/>
          <w:sz w:val="24"/>
          <w:szCs w:val="24"/>
        </w:rPr>
      </w:pPr>
      <w:r>
        <w:rPr>
          <w:rFonts w:asciiTheme="majorHAnsi" w:hAnsiTheme="majorHAnsi" w:cs="Times"/>
          <w:b/>
          <w:iCs/>
          <w:color w:val="231F20"/>
          <w:sz w:val="24"/>
          <w:szCs w:val="24"/>
        </w:rPr>
        <w:t xml:space="preserve">Below is a summary table of the </w:t>
      </w:r>
      <w:r w:rsidR="000D21FB">
        <w:rPr>
          <w:rFonts w:asciiTheme="majorHAnsi" w:hAnsiTheme="majorHAnsi" w:cs="Times"/>
          <w:b/>
          <w:iCs/>
          <w:color w:val="231F20"/>
          <w:sz w:val="24"/>
          <w:szCs w:val="24"/>
        </w:rPr>
        <w:t>lead and copper</w:t>
      </w:r>
      <w:r>
        <w:rPr>
          <w:rFonts w:asciiTheme="majorHAnsi" w:hAnsiTheme="majorHAnsi" w:cs="Times"/>
          <w:b/>
          <w:iCs/>
          <w:color w:val="231F20"/>
          <w:sz w:val="24"/>
          <w:szCs w:val="24"/>
        </w:rPr>
        <w:t xml:space="preserve"> results taken in the **Water System Name** distribution system during </w:t>
      </w:r>
      <w:r w:rsidR="000D21FB">
        <w:rPr>
          <w:rFonts w:asciiTheme="majorHAnsi" w:hAnsiTheme="majorHAnsi" w:cs="Times"/>
          <w:b/>
          <w:iCs/>
          <w:color w:val="231F20"/>
          <w:sz w:val="24"/>
          <w:szCs w:val="24"/>
        </w:rPr>
        <w:t>** TIMEFRAME**</w:t>
      </w:r>
      <w:r>
        <w:rPr>
          <w:rFonts w:asciiTheme="majorHAnsi" w:hAnsiTheme="majorHAnsi" w:cs="Times"/>
          <w:b/>
          <w:iCs/>
          <w:color w:val="231F20"/>
          <w:sz w:val="24"/>
          <w:szCs w:val="24"/>
        </w:rPr>
        <w:t>:</w:t>
      </w:r>
    </w:p>
    <w:p w:rsidR="000D21FB" w:rsidRDefault="000D21FB" w:rsidP="00AE2A9D">
      <w:pPr>
        <w:rPr>
          <w:rFonts w:asciiTheme="majorHAnsi" w:hAnsiTheme="majorHAnsi" w:cs="Times"/>
          <w:b/>
          <w:iCs/>
          <w:color w:val="231F20"/>
          <w:sz w:val="24"/>
          <w:szCs w:val="24"/>
        </w:rPr>
      </w:pPr>
    </w:p>
    <w:p w:rsidR="00C94D24" w:rsidRDefault="00C94D24" w:rsidP="00AE2A9D">
      <w:pPr>
        <w:rPr>
          <w:rFonts w:asciiTheme="majorHAnsi" w:hAnsiTheme="majorHAnsi" w:cs="Times"/>
          <w:iCs/>
          <w:color w:val="231F20"/>
          <w:sz w:val="24"/>
          <w:szCs w:val="24"/>
        </w:rPr>
      </w:pPr>
      <w:r w:rsidRPr="00C94D24">
        <w:rPr>
          <w:rFonts w:asciiTheme="majorHAnsi" w:hAnsiTheme="majorHAnsi" w:cs="Times"/>
          <w:iCs/>
          <w:color w:val="231F20"/>
          <w:sz w:val="24"/>
          <w:szCs w:val="24"/>
        </w:rPr>
        <w:t xml:space="preserve">((Insert table here… make sure to include results and a column for the Action Level so residents can compare the two. Point out that </w:t>
      </w:r>
      <w:r w:rsidR="009B1580">
        <w:rPr>
          <w:rFonts w:asciiTheme="majorHAnsi" w:hAnsiTheme="majorHAnsi" w:cs="Times"/>
          <w:iCs/>
          <w:color w:val="231F20"/>
          <w:sz w:val="24"/>
          <w:szCs w:val="24"/>
        </w:rPr>
        <w:t>lead and /</w:t>
      </w:r>
      <w:r w:rsidRPr="00C94D24">
        <w:rPr>
          <w:rFonts w:asciiTheme="majorHAnsi" w:hAnsiTheme="majorHAnsi" w:cs="Times"/>
          <w:iCs/>
          <w:color w:val="231F20"/>
          <w:sz w:val="24"/>
          <w:szCs w:val="24"/>
        </w:rPr>
        <w:t>copper results vary depending on location, but list in order from low to high both sampling periods so residents can see the 90</w:t>
      </w:r>
      <w:r w:rsidRPr="00C94D24">
        <w:rPr>
          <w:rFonts w:asciiTheme="majorHAnsi" w:hAnsiTheme="majorHAnsi" w:cs="Times"/>
          <w:iCs/>
          <w:color w:val="231F20"/>
          <w:sz w:val="24"/>
          <w:szCs w:val="24"/>
          <w:vertAlign w:val="superscript"/>
        </w:rPr>
        <w:t>th</w:t>
      </w:r>
      <w:r w:rsidRPr="00C94D24">
        <w:rPr>
          <w:rFonts w:asciiTheme="majorHAnsi" w:hAnsiTheme="majorHAnsi" w:cs="Times"/>
          <w:iCs/>
          <w:color w:val="231F20"/>
          <w:sz w:val="24"/>
          <w:szCs w:val="24"/>
        </w:rPr>
        <w:t xml:space="preserve"> percentile. Include a comment that residents at locations where exceedances occurred have been notified.))  </w:t>
      </w:r>
    </w:p>
    <w:p w:rsidR="00D77F71" w:rsidRPr="00D77F71" w:rsidRDefault="00D77F71" w:rsidP="00D77F71">
      <w:pPr>
        <w:rPr>
          <w:rFonts w:cstheme="minorHAnsi"/>
          <w:b/>
          <w:sz w:val="24"/>
          <w:szCs w:val="24"/>
        </w:rPr>
      </w:pPr>
      <w:r w:rsidRPr="00D77F71">
        <w:rPr>
          <w:rFonts w:cstheme="minorHAnsi"/>
          <w:b/>
          <w:sz w:val="24"/>
          <w:szCs w:val="24"/>
        </w:rPr>
        <w:t>What is an action level?</w:t>
      </w:r>
    </w:p>
    <w:p w:rsidR="00D77F71" w:rsidRPr="00D77F71" w:rsidRDefault="00D77F71" w:rsidP="00D77F71">
      <w:pPr>
        <w:spacing w:line="240" w:lineRule="auto"/>
        <w:rPr>
          <w:rFonts w:cstheme="minorHAnsi"/>
          <w:sz w:val="24"/>
          <w:szCs w:val="24"/>
        </w:rPr>
      </w:pPr>
      <w:r w:rsidRPr="00D77F71">
        <w:rPr>
          <w:rFonts w:cstheme="minorHAnsi"/>
          <w:sz w:val="24"/>
          <w:szCs w:val="24"/>
        </w:rPr>
        <w:t xml:space="preserve">An action level is a threshold published by the Environmental Protection Agency (EPA) above which a public water system is required to take steps to ensure public health and educate consumers on how to reduce exposure. </w:t>
      </w:r>
    </w:p>
    <w:p w:rsidR="00D77F71" w:rsidRPr="00D77F71" w:rsidRDefault="00D77F71" w:rsidP="00D77F71">
      <w:pPr>
        <w:rPr>
          <w:rFonts w:cstheme="minorHAnsi"/>
          <w:b/>
          <w:sz w:val="24"/>
          <w:szCs w:val="24"/>
        </w:rPr>
      </w:pPr>
      <w:r w:rsidRPr="00D77F71">
        <w:rPr>
          <w:rFonts w:cstheme="minorHAnsi"/>
          <w:b/>
          <w:sz w:val="24"/>
          <w:szCs w:val="24"/>
        </w:rPr>
        <w:t xml:space="preserve">How is compliance determined? </w:t>
      </w:r>
    </w:p>
    <w:p w:rsidR="00D77F71" w:rsidRPr="00D77F71" w:rsidRDefault="00D77F71" w:rsidP="00D77F71">
      <w:pPr>
        <w:spacing w:line="240" w:lineRule="auto"/>
        <w:rPr>
          <w:rFonts w:cstheme="minorHAnsi"/>
          <w:sz w:val="24"/>
          <w:szCs w:val="24"/>
        </w:rPr>
      </w:pPr>
      <w:r w:rsidRPr="00D77F71">
        <w:rPr>
          <w:rFonts w:cstheme="minorHAnsi"/>
          <w:sz w:val="24"/>
          <w:szCs w:val="24"/>
        </w:rPr>
        <w:t>Compliance is determined on a 90</w:t>
      </w:r>
      <w:r w:rsidRPr="00D77F71">
        <w:rPr>
          <w:rFonts w:cstheme="minorHAnsi"/>
          <w:sz w:val="24"/>
          <w:szCs w:val="24"/>
          <w:vertAlign w:val="superscript"/>
        </w:rPr>
        <w:t>th</w:t>
      </w:r>
      <w:r w:rsidRPr="00D77F71">
        <w:rPr>
          <w:rFonts w:cstheme="minorHAnsi"/>
          <w:sz w:val="24"/>
          <w:szCs w:val="24"/>
        </w:rPr>
        <w:t xml:space="preserve"> percentile basis. This means that if 90% or more of the samples collected during a compliance period test below the EPA’s action level than that system is deemed to be in compliance.  Your individual result may be higher or lower than the 90</w:t>
      </w:r>
      <w:r w:rsidRPr="00D77F71">
        <w:rPr>
          <w:rFonts w:cstheme="minorHAnsi"/>
          <w:sz w:val="24"/>
          <w:szCs w:val="24"/>
          <w:vertAlign w:val="superscript"/>
        </w:rPr>
        <w:t>th</w:t>
      </w:r>
      <w:r w:rsidRPr="00D77F71">
        <w:rPr>
          <w:rFonts w:cstheme="minorHAnsi"/>
          <w:sz w:val="24"/>
          <w:szCs w:val="24"/>
        </w:rPr>
        <w:t xml:space="preserve"> percentile result and does not reflect the system’s overall compliance to the lead and copper rule. In the event that your water system’s 90</w:t>
      </w:r>
      <w:r w:rsidRPr="00D77F71">
        <w:rPr>
          <w:rFonts w:cstheme="minorHAnsi"/>
          <w:sz w:val="24"/>
          <w:szCs w:val="24"/>
          <w:vertAlign w:val="superscript"/>
        </w:rPr>
        <w:t>th</w:t>
      </w:r>
      <w:r w:rsidRPr="00D77F71">
        <w:rPr>
          <w:rFonts w:cstheme="minorHAnsi"/>
          <w:sz w:val="24"/>
          <w:szCs w:val="24"/>
        </w:rPr>
        <w:t xml:space="preserve"> percentile result does exceed the EPA’s action level you will be contacted within 48 hours of the exceedance. </w:t>
      </w:r>
    </w:p>
    <w:p w:rsidR="002F5B18" w:rsidRDefault="00ED6A08" w:rsidP="00F703D9">
      <w:pPr>
        <w:rPr>
          <w:sz w:val="24"/>
          <w:szCs w:val="24"/>
        </w:rPr>
      </w:pPr>
      <w:r>
        <w:rPr>
          <w:b/>
          <w:sz w:val="24"/>
          <w:szCs w:val="24"/>
          <w:u w:val="single"/>
        </w:rPr>
        <w:t>Health Effects of Lead</w:t>
      </w:r>
      <w:r w:rsidR="000D21FB">
        <w:rPr>
          <w:b/>
          <w:sz w:val="24"/>
          <w:szCs w:val="24"/>
          <w:u w:val="single"/>
        </w:rPr>
        <w:t xml:space="preserve"> and Copper</w:t>
      </w:r>
      <w:r w:rsidR="00AE2A9D" w:rsidRPr="00F703D9">
        <w:rPr>
          <w:b/>
          <w:sz w:val="24"/>
          <w:szCs w:val="24"/>
          <w:u w:val="single"/>
        </w:rPr>
        <w:t>:</w:t>
      </w:r>
      <w:r w:rsidR="00F703D9" w:rsidRPr="00F703D9">
        <w:rPr>
          <w:sz w:val="24"/>
          <w:szCs w:val="24"/>
        </w:rPr>
        <w:t xml:space="preserve"> </w:t>
      </w:r>
    </w:p>
    <w:p w:rsidR="00D77F71" w:rsidRPr="00D77F71" w:rsidRDefault="00D77F71" w:rsidP="00D77F71">
      <w:pPr>
        <w:rPr>
          <w:rFonts w:cstheme="minorHAnsi"/>
          <w:sz w:val="24"/>
          <w:szCs w:val="24"/>
        </w:rPr>
      </w:pPr>
      <w:r w:rsidRPr="00D77F71">
        <w:rPr>
          <w:rFonts w:cstheme="minorHAnsi"/>
          <w:sz w:val="24"/>
          <w:szCs w:val="24"/>
        </w:rPr>
        <w:t xml:space="preserve">The EPA has established Maximum Contamination Level Goals (MCLG). These goals are set at levels at which no adverse health effects are likely to occur with a margin of safety. </w:t>
      </w:r>
    </w:p>
    <w:tbl>
      <w:tblPr>
        <w:tblStyle w:val="TableGrid"/>
        <w:tblW w:w="0" w:type="auto"/>
        <w:tblLook w:val="04A0" w:firstRow="1" w:lastRow="0" w:firstColumn="1" w:lastColumn="0" w:noHBand="0" w:noVBand="1"/>
      </w:tblPr>
      <w:tblGrid>
        <w:gridCol w:w="4778"/>
        <w:gridCol w:w="4798"/>
      </w:tblGrid>
      <w:tr w:rsidR="00D77F71" w:rsidRPr="007E1380" w:rsidTr="00677F94">
        <w:trPr>
          <w:trHeight w:val="262"/>
        </w:trPr>
        <w:tc>
          <w:tcPr>
            <w:tcW w:w="5301" w:type="dxa"/>
            <w:shd w:val="pct25" w:color="auto" w:fill="auto"/>
          </w:tcPr>
          <w:p w:rsidR="00D77F71" w:rsidRPr="007E1380" w:rsidRDefault="00D77F71" w:rsidP="00677F94">
            <w:pPr>
              <w:jc w:val="center"/>
              <w:rPr>
                <w:rFonts w:cstheme="minorHAnsi"/>
                <w:sz w:val="20"/>
                <w:szCs w:val="20"/>
              </w:rPr>
            </w:pPr>
            <w:r w:rsidRPr="007E1380">
              <w:rPr>
                <w:rFonts w:cstheme="minorHAnsi"/>
                <w:sz w:val="20"/>
                <w:szCs w:val="20"/>
              </w:rPr>
              <w:t>Contaminant</w:t>
            </w:r>
          </w:p>
        </w:tc>
        <w:tc>
          <w:tcPr>
            <w:tcW w:w="5301" w:type="dxa"/>
            <w:shd w:val="pct25" w:color="auto" w:fill="auto"/>
          </w:tcPr>
          <w:p w:rsidR="00D77F71" w:rsidRPr="007E1380" w:rsidRDefault="00D77F71" w:rsidP="00677F94">
            <w:pPr>
              <w:jc w:val="center"/>
              <w:rPr>
                <w:rFonts w:cstheme="minorHAnsi"/>
                <w:sz w:val="20"/>
                <w:szCs w:val="20"/>
              </w:rPr>
            </w:pPr>
            <w:r w:rsidRPr="007E1380">
              <w:rPr>
                <w:rFonts w:cstheme="minorHAnsi"/>
                <w:sz w:val="20"/>
                <w:szCs w:val="20"/>
              </w:rPr>
              <w:t>EPA Published Maximum Contamination</w:t>
            </w:r>
            <w:r>
              <w:rPr>
                <w:rFonts w:cstheme="minorHAnsi"/>
                <w:sz w:val="20"/>
                <w:szCs w:val="20"/>
              </w:rPr>
              <w:t xml:space="preserve"> Level</w:t>
            </w:r>
            <w:r w:rsidRPr="007E1380">
              <w:rPr>
                <w:rFonts w:cstheme="minorHAnsi"/>
                <w:sz w:val="20"/>
                <w:szCs w:val="20"/>
              </w:rPr>
              <w:t xml:space="preserve"> Goal</w:t>
            </w:r>
          </w:p>
        </w:tc>
      </w:tr>
      <w:tr w:rsidR="00D77F71" w:rsidRPr="007E1380" w:rsidTr="00677F94">
        <w:trPr>
          <w:trHeight w:val="262"/>
        </w:trPr>
        <w:tc>
          <w:tcPr>
            <w:tcW w:w="5301" w:type="dxa"/>
          </w:tcPr>
          <w:p w:rsidR="00D77F71" w:rsidRPr="007E1380" w:rsidRDefault="00D77F71" w:rsidP="00677F94">
            <w:pPr>
              <w:jc w:val="center"/>
              <w:rPr>
                <w:rFonts w:cstheme="minorHAnsi"/>
                <w:sz w:val="20"/>
                <w:szCs w:val="20"/>
              </w:rPr>
            </w:pPr>
            <w:r w:rsidRPr="007E1380">
              <w:rPr>
                <w:rFonts w:cstheme="minorHAnsi"/>
                <w:sz w:val="20"/>
                <w:szCs w:val="20"/>
              </w:rPr>
              <w:t>Lead</w:t>
            </w:r>
          </w:p>
        </w:tc>
        <w:tc>
          <w:tcPr>
            <w:tcW w:w="5301" w:type="dxa"/>
          </w:tcPr>
          <w:p w:rsidR="00D77F71" w:rsidRPr="007E1380" w:rsidRDefault="00D77F71" w:rsidP="00677F94">
            <w:pPr>
              <w:jc w:val="center"/>
              <w:rPr>
                <w:rFonts w:cstheme="minorHAnsi"/>
                <w:sz w:val="20"/>
                <w:szCs w:val="20"/>
              </w:rPr>
            </w:pPr>
            <w:r w:rsidRPr="007E1380">
              <w:rPr>
                <w:rFonts w:cstheme="minorHAnsi"/>
                <w:sz w:val="20"/>
                <w:szCs w:val="20"/>
              </w:rPr>
              <w:t>0</w:t>
            </w:r>
          </w:p>
        </w:tc>
      </w:tr>
      <w:tr w:rsidR="00D77F71" w:rsidRPr="007E1380" w:rsidTr="00677F94">
        <w:trPr>
          <w:trHeight w:val="275"/>
        </w:trPr>
        <w:tc>
          <w:tcPr>
            <w:tcW w:w="5301" w:type="dxa"/>
          </w:tcPr>
          <w:p w:rsidR="00D77F71" w:rsidRPr="007E1380" w:rsidRDefault="00D77F71" w:rsidP="00677F94">
            <w:pPr>
              <w:jc w:val="center"/>
              <w:rPr>
                <w:rFonts w:cstheme="minorHAnsi"/>
                <w:sz w:val="20"/>
                <w:szCs w:val="20"/>
              </w:rPr>
            </w:pPr>
            <w:r w:rsidRPr="007E1380">
              <w:rPr>
                <w:rFonts w:cstheme="minorHAnsi"/>
                <w:sz w:val="20"/>
                <w:szCs w:val="20"/>
              </w:rPr>
              <w:t>Copper</w:t>
            </w:r>
          </w:p>
        </w:tc>
        <w:tc>
          <w:tcPr>
            <w:tcW w:w="5301" w:type="dxa"/>
          </w:tcPr>
          <w:p w:rsidR="00D77F71" w:rsidRPr="007E1380" w:rsidRDefault="00D77F71" w:rsidP="00677F94">
            <w:pPr>
              <w:jc w:val="center"/>
              <w:rPr>
                <w:rFonts w:cstheme="minorHAnsi"/>
                <w:sz w:val="20"/>
                <w:szCs w:val="20"/>
              </w:rPr>
            </w:pPr>
            <w:r w:rsidRPr="007E1380">
              <w:rPr>
                <w:rFonts w:cstheme="minorHAnsi"/>
                <w:sz w:val="20"/>
                <w:szCs w:val="20"/>
              </w:rPr>
              <w:t>1.3 mg/L</w:t>
            </w:r>
          </w:p>
        </w:tc>
      </w:tr>
    </w:tbl>
    <w:p w:rsidR="00D77F71" w:rsidRDefault="00D77F71" w:rsidP="00F703D9">
      <w:pPr>
        <w:rPr>
          <w:sz w:val="24"/>
          <w:szCs w:val="24"/>
        </w:rPr>
      </w:pPr>
    </w:p>
    <w:p w:rsidR="00ED6A08" w:rsidRPr="00455EBC" w:rsidRDefault="00455EBC" w:rsidP="00AE2A9D">
      <w:pPr>
        <w:pStyle w:val="NormalWeb"/>
        <w:spacing w:before="0" w:beforeAutospacing="0" w:afterAutospacing="0"/>
        <w:rPr>
          <w:rFonts w:asciiTheme="majorHAnsi" w:hAnsiTheme="majorHAnsi" w:cs="Times"/>
          <w:b/>
          <w:iCs/>
          <w:color w:val="231F20"/>
        </w:rPr>
      </w:pPr>
      <w:r w:rsidRPr="00455EBC">
        <w:rPr>
          <w:rFonts w:asciiTheme="majorHAnsi" w:hAnsiTheme="majorHAnsi" w:cs="Times"/>
          <w:b/>
          <w:iCs/>
          <w:color w:val="231F20"/>
        </w:rPr>
        <w:t>Lead</w:t>
      </w:r>
    </w:p>
    <w:p w:rsidR="00455EBC" w:rsidRPr="00455EBC" w:rsidRDefault="00D77F71" w:rsidP="00455EBC">
      <w:pPr>
        <w:rPr>
          <w:rFonts w:cstheme="minorHAnsi"/>
          <w:b/>
          <w:sz w:val="24"/>
          <w:szCs w:val="24"/>
        </w:rPr>
      </w:pPr>
      <w:r>
        <w:rPr>
          <w:rFonts w:cstheme="minorHAnsi"/>
          <w:color w:val="212121"/>
          <w:sz w:val="24"/>
          <w:szCs w:val="24"/>
        </w:rPr>
        <w:t xml:space="preserve">The EPA </w:t>
      </w:r>
      <w:r w:rsidR="00455EBC" w:rsidRPr="00455EBC">
        <w:rPr>
          <w:rFonts w:cstheme="minorHAnsi"/>
          <w:color w:val="212121"/>
          <w:sz w:val="24"/>
          <w:szCs w:val="24"/>
        </w:rPr>
        <w:t>has set the maximum contaminant level goal for lead in drinking water at zero because lead is a toxic metal that can be harmful to human health even at low exposure levels. Lead is persistent, and it can bio-accumulate in the body over time.</w:t>
      </w:r>
    </w:p>
    <w:p w:rsidR="00455EBC" w:rsidRPr="00455EBC" w:rsidRDefault="00455EBC" w:rsidP="00455EBC">
      <w:pPr>
        <w:pStyle w:val="NormalWeb"/>
        <w:shd w:val="clear" w:color="auto" w:fill="FFFFFF"/>
        <w:rPr>
          <w:rFonts w:asciiTheme="minorHAnsi" w:hAnsiTheme="minorHAnsi" w:cstheme="minorHAnsi"/>
          <w:color w:val="212121"/>
        </w:rPr>
      </w:pPr>
      <w:r w:rsidRPr="00455EBC">
        <w:rPr>
          <w:rFonts w:asciiTheme="minorHAnsi" w:hAnsiTheme="minorHAnsi" w:cstheme="minorHAnsi"/>
          <w:color w:val="212121"/>
        </w:rPr>
        <w:t>Young children, infants, and fetuses are particularly vulnerable to lead because the physical and behavioral effects of lead occur at lower exposure levels in children than in adults. A dose of lead that would have little effect on an adult can have a significant effect on a child. In children, low levels of exposure have been linked to damage to the central and peripheral nervous system, learning disabilities, shorter stature, impaired hearing, and impaired formation and function of blood cells.</w:t>
      </w:r>
    </w:p>
    <w:p w:rsidR="00455EBC" w:rsidRDefault="00455EBC" w:rsidP="00455EBC">
      <w:pPr>
        <w:pStyle w:val="NormalWeb"/>
        <w:shd w:val="clear" w:color="auto" w:fill="FFFFFF"/>
        <w:spacing w:before="0" w:beforeAutospacing="0" w:after="0" w:afterAutospacing="0"/>
        <w:rPr>
          <w:rFonts w:asciiTheme="minorHAnsi" w:hAnsiTheme="minorHAnsi" w:cstheme="minorHAnsi"/>
          <w:color w:val="212121"/>
        </w:rPr>
      </w:pPr>
      <w:r w:rsidRPr="00455EBC">
        <w:rPr>
          <w:rFonts w:asciiTheme="minorHAnsi" w:hAnsiTheme="minorHAnsi" w:cstheme="minorHAnsi"/>
          <w:color w:val="212121"/>
        </w:rPr>
        <w:t>The Centers for Disease Control and Prevention (CDC) recommends that public health actions be initiated when the level of lead in a child’s blood is 5 micrograms per deciliter (µg/</w:t>
      </w:r>
      <w:proofErr w:type="spellStart"/>
      <w:r w:rsidRPr="00455EBC">
        <w:rPr>
          <w:rFonts w:asciiTheme="minorHAnsi" w:hAnsiTheme="minorHAnsi" w:cstheme="minorHAnsi"/>
          <w:color w:val="212121"/>
        </w:rPr>
        <w:t>dL</w:t>
      </w:r>
      <w:proofErr w:type="spellEnd"/>
      <w:r w:rsidRPr="00455EBC">
        <w:rPr>
          <w:rFonts w:asciiTheme="minorHAnsi" w:hAnsiTheme="minorHAnsi" w:cstheme="minorHAnsi"/>
          <w:color w:val="212121"/>
        </w:rPr>
        <w:t>) or more.</w:t>
      </w:r>
    </w:p>
    <w:p w:rsidR="00455EBC" w:rsidRDefault="00455EBC" w:rsidP="00455EBC">
      <w:pPr>
        <w:pStyle w:val="NormalWeb"/>
        <w:shd w:val="clear" w:color="auto" w:fill="FFFFFF"/>
        <w:spacing w:before="0" w:beforeAutospacing="0" w:after="0" w:afterAutospacing="0"/>
        <w:rPr>
          <w:rFonts w:asciiTheme="minorHAnsi" w:hAnsiTheme="minorHAnsi" w:cstheme="minorHAnsi"/>
          <w:color w:val="212121"/>
        </w:rPr>
      </w:pPr>
    </w:p>
    <w:p w:rsidR="00455EBC" w:rsidRDefault="00455EBC" w:rsidP="00455EBC">
      <w:pPr>
        <w:pStyle w:val="NormalWeb"/>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 xml:space="preserve">Signs and symptoms of lead poisoning can be hard to detect. If you suspect a possible lead contamination please contact your health care provider and request a blood test. </w:t>
      </w:r>
    </w:p>
    <w:p w:rsidR="00455EBC" w:rsidRDefault="00455EBC" w:rsidP="00455EBC">
      <w:pPr>
        <w:pStyle w:val="NormalWeb"/>
        <w:shd w:val="clear" w:color="auto" w:fill="FFFFFF"/>
        <w:spacing w:before="0" w:beforeAutospacing="0" w:after="0" w:afterAutospacing="0"/>
        <w:rPr>
          <w:rFonts w:asciiTheme="minorHAnsi" w:hAnsiTheme="minorHAnsi" w:cstheme="minorHAnsi"/>
          <w:color w:val="212121"/>
        </w:rPr>
      </w:pPr>
    </w:p>
    <w:p w:rsidR="00455EBC" w:rsidRDefault="00455EBC" w:rsidP="00455EBC">
      <w:pPr>
        <w:pStyle w:val="NormalWeb"/>
        <w:shd w:val="clear" w:color="auto" w:fill="FFFFFF"/>
        <w:spacing w:before="0" w:beforeAutospacing="0" w:after="0" w:afterAutospacing="0"/>
        <w:rPr>
          <w:rFonts w:asciiTheme="minorHAnsi" w:hAnsiTheme="minorHAnsi" w:cstheme="minorHAnsi"/>
          <w:b/>
          <w:color w:val="212121"/>
        </w:rPr>
      </w:pPr>
      <w:r w:rsidRPr="00455EBC">
        <w:rPr>
          <w:rFonts w:asciiTheme="minorHAnsi" w:hAnsiTheme="minorHAnsi" w:cstheme="minorHAnsi"/>
          <w:b/>
          <w:color w:val="212121"/>
        </w:rPr>
        <w:t xml:space="preserve">Copper </w:t>
      </w:r>
    </w:p>
    <w:p w:rsidR="00455EBC" w:rsidRDefault="00455EBC" w:rsidP="00455EBC">
      <w:pPr>
        <w:pStyle w:val="NormalWeb"/>
        <w:shd w:val="clear" w:color="auto" w:fill="FFFFFF"/>
        <w:spacing w:before="0" w:beforeAutospacing="0" w:after="0" w:afterAutospacing="0"/>
        <w:rPr>
          <w:rFonts w:asciiTheme="minorHAnsi" w:hAnsiTheme="minorHAnsi" w:cstheme="minorHAnsi"/>
          <w:b/>
          <w:color w:val="212121"/>
        </w:rPr>
      </w:pPr>
    </w:p>
    <w:p w:rsidR="00455EBC" w:rsidRPr="00D77F71" w:rsidRDefault="00455EBC" w:rsidP="00455EBC">
      <w:pPr>
        <w:spacing w:line="240" w:lineRule="auto"/>
        <w:rPr>
          <w:rFonts w:cstheme="minorHAnsi"/>
          <w:sz w:val="24"/>
          <w:szCs w:val="24"/>
        </w:rPr>
      </w:pPr>
      <w:r w:rsidRPr="00D77F71">
        <w:rPr>
          <w:rFonts w:cstheme="minorHAnsi"/>
          <w:sz w:val="24"/>
          <w:szCs w:val="24"/>
        </w:rPr>
        <w:t xml:space="preserve">Copper is a mineral and natural component in soils. In the correct amounts, it is an essential nutrient for humans and plants. Although copper is an important mineral, too much copper can cause health </w:t>
      </w:r>
      <w:proofErr w:type="gramStart"/>
      <w:r w:rsidRPr="00D77F71">
        <w:rPr>
          <w:rFonts w:cstheme="minorHAnsi"/>
          <w:sz w:val="24"/>
          <w:szCs w:val="24"/>
        </w:rPr>
        <w:t>problems.</w:t>
      </w:r>
      <w:proofErr w:type="gramEnd"/>
      <w:r w:rsidRPr="00D77F71">
        <w:rPr>
          <w:rFonts w:cstheme="minorHAnsi"/>
          <w:sz w:val="24"/>
          <w:szCs w:val="24"/>
        </w:rPr>
        <w:t xml:space="preserve"> The MCLG for copper is 1.3 mg/L. Copper is widely distributed within the tissues of the body, but accumulates primarily in the liver and kidneys. A single dose of 15 mg of copper can cause nausea, vomiting, diarrhea, and intestinal cramps. Severe cases of copper poisoning have led to anemia and disruption of liver and kidney functions. Individuals with Wilson’s or </w:t>
      </w:r>
      <w:proofErr w:type="spellStart"/>
      <w:r w:rsidRPr="00D77F71">
        <w:rPr>
          <w:rFonts w:cstheme="minorHAnsi"/>
          <w:sz w:val="24"/>
          <w:szCs w:val="24"/>
        </w:rPr>
        <w:t>Menke’s</w:t>
      </w:r>
      <w:proofErr w:type="spellEnd"/>
      <w:r w:rsidRPr="00D77F71">
        <w:rPr>
          <w:rFonts w:cstheme="minorHAnsi"/>
          <w:sz w:val="24"/>
          <w:szCs w:val="24"/>
        </w:rPr>
        <w:t xml:space="preserve"> diseases are at higher risk from copper exposure.</w:t>
      </w:r>
    </w:p>
    <w:p w:rsidR="00455EBC" w:rsidRPr="00455EBC" w:rsidRDefault="00455EBC" w:rsidP="00455EBC">
      <w:pPr>
        <w:pStyle w:val="NormalWeb"/>
        <w:shd w:val="clear" w:color="auto" w:fill="FFFFFF"/>
        <w:spacing w:before="0" w:beforeAutospacing="0" w:after="0" w:afterAutospacing="0"/>
        <w:rPr>
          <w:rFonts w:asciiTheme="minorHAnsi" w:hAnsiTheme="minorHAnsi" w:cstheme="minorHAnsi"/>
          <w:b/>
          <w:color w:val="212121"/>
        </w:rPr>
      </w:pPr>
    </w:p>
    <w:p w:rsidR="00455EBC" w:rsidRDefault="00455EBC" w:rsidP="00AE2A9D">
      <w:pPr>
        <w:pStyle w:val="NormalWeb"/>
        <w:spacing w:before="0" w:beforeAutospacing="0" w:afterAutospacing="0"/>
        <w:rPr>
          <w:rFonts w:asciiTheme="majorHAnsi" w:hAnsiTheme="majorHAnsi" w:cs="Times"/>
          <w:iCs/>
          <w:color w:val="231F20"/>
        </w:rPr>
      </w:pPr>
    </w:p>
    <w:p w:rsidR="00F703D9" w:rsidRPr="00ED6A08" w:rsidRDefault="000D21FB" w:rsidP="00AE2A9D">
      <w:pPr>
        <w:pStyle w:val="NormalWeb"/>
        <w:spacing w:before="0" w:beforeAutospacing="0" w:afterAutospacing="0"/>
        <w:rPr>
          <w:rFonts w:asciiTheme="majorHAnsi" w:hAnsiTheme="majorHAnsi" w:cs="Times"/>
          <w:b/>
          <w:iCs/>
          <w:color w:val="231F20"/>
          <w:u w:val="single"/>
        </w:rPr>
      </w:pPr>
      <w:r>
        <w:rPr>
          <w:rFonts w:asciiTheme="majorHAnsi" w:hAnsiTheme="majorHAnsi" w:cs="Times"/>
          <w:b/>
          <w:iCs/>
          <w:color w:val="231F20"/>
          <w:u w:val="single"/>
        </w:rPr>
        <w:t>How Do</w:t>
      </w:r>
      <w:r w:rsidR="00CC2E61" w:rsidRPr="00ED6A08">
        <w:rPr>
          <w:rFonts w:asciiTheme="majorHAnsi" w:hAnsiTheme="majorHAnsi" w:cs="Times"/>
          <w:b/>
          <w:iCs/>
          <w:color w:val="231F20"/>
          <w:u w:val="single"/>
        </w:rPr>
        <w:t xml:space="preserve"> </w:t>
      </w:r>
      <w:r w:rsidR="00ED6A08" w:rsidRPr="00ED6A08">
        <w:rPr>
          <w:rFonts w:asciiTheme="majorHAnsi" w:hAnsiTheme="majorHAnsi" w:cs="Times"/>
          <w:b/>
          <w:iCs/>
          <w:color w:val="231F20"/>
          <w:u w:val="single"/>
        </w:rPr>
        <w:t>Lead</w:t>
      </w:r>
      <w:r w:rsidR="00CC2E61" w:rsidRPr="00ED6A08">
        <w:rPr>
          <w:rFonts w:asciiTheme="majorHAnsi" w:hAnsiTheme="majorHAnsi" w:cs="Times"/>
          <w:b/>
          <w:iCs/>
          <w:color w:val="231F20"/>
          <w:u w:val="single"/>
        </w:rPr>
        <w:t xml:space="preserve"> </w:t>
      </w:r>
      <w:r>
        <w:rPr>
          <w:rFonts w:asciiTheme="majorHAnsi" w:hAnsiTheme="majorHAnsi" w:cs="Times"/>
          <w:b/>
          <w:iCs/>
          <w:color w:val="231F20"/>
          <w:u w:val="single"/>
        </w:rPr>
        <w:t xml:space="preserve">and Copper </w:t>
      </w:r>
      <w:r w:rsidR="00CC2E61" w:rsidRPr="00ED6A08">
        <w:rPr>
          <w:rFonts w:asciiTheme="majorHAnsi" w:hAnsiTheme="majorHAnsi" w:cs="Times"/>
          <w:b/>
          <w:iCs/>
          <w:color w:val="231F20"/>
          <w:u w:val="single"/>
        </w:rPr>
        <w:t>Get into Drinking Water?</w:t>
      </w:r>
      <w:r w:rsidR="00F703D9" w:rsidRPr="00ED6A08">
        <w:rPr>
          <w:rFonts w:asciiTheme="majorHAnsi" w:hAnsiTheme="majorHAnsi" w:cs="Times"/>
          <w:b/>
          <w:iCs/>
          <w:color w:val="231F20"/>
          <w:u w:val="single"/>
        </w:rPr>
        <w:t xml:space="preserve"> </w:t>
      </w:r>
    </w:p>
    <w:p w:rsidR="00ED6A08" w:rsidRPr="00D77F71" w:rsidRDefault="00ED6A08" w:rsidP="00ED6A08">
      <w:pPr>
        <w:spacing w:after="100" w:line="240" w:lineRule="auto"/>
        <w:rPr>
          <w:rFonts w:eastAsia="Times New Roman" w:cstheme="minorHAnsi"/>
          <w:sz w:val="24"/>
          <w:szCs w:val="24"/>
        </w:rPr>
      </w:pPr>
      <w:r w:rsidRPr="00D77F71">
        <w:rPr>
          <w:rFonts w:eastAsia="Times New Roman" w:cstheme="minorHAnsi"/>
          <w:color w:val="231F20"/>
          <w:sz w:val="24"/>
          <w:szCs w:val="24"/>
        </w:rPr>
        <w:t xml:space="preserve">Lead </w:t>
      </w:r>
      <w:r w:rsidR="000D21FB" w:rsidRPr="00D77F71">
        <w:rPr>
          <w:rFonts w:eastAsia="Times New Roman" w:cstheme="minorHAnsi"/>
          <w:color w:val="231F20"/>
          <w:sz w:val="24"/>
          <w:szCs w:val="24"/>
        </w:rPr>
        <w:t>and copper are</w:t>
      </w:r>
      <w:r w:rsidRPr="00D77F71">
        <w:rPr>
          <w:rFonts w:eastAsia="Times New Roman" w:cstheme="minorHAnsi"/>
          <w:color w:val="231F20"/>
          <w:sz w:val="24"/>
          <w:szCs w:val="24"/>
        </w:rPr>
        <w:t xml:space="preserve"> common metal</w:t>
      </w:r>
      <w:r w:rsidR="000D21FB" w:rsidRPr="00D77F71">
        <w:rPr>
          <w:rFonts w:eastAsia="Times New Roman" w:cstheme="minorHAnsi"/>
          <w:color w:val="231F20"/>
          <w:sz w:val="24"/>
          <w:szCs w:val="24"/>
        </w:rPr>
        <w:t>s</w:t>
      </w:r>
      <w:r w:rsidRPr="00D77F71">
        <w:rPr>
          <w:rFonts w:eastAsia="Times New Roman" w:cstheme="minorHAnsi"/>
          <w:color w:val="231F20"/>
          <w:sz w:val="24"/>
          <w:szCs w:val="24"/>
        </w:rPr>
        <w:t xml:space="preserve"> found in the environment. The main sources of lead exposure are lead-based paint and lead-contaminated dust or soil, and some plumbing materials. </w:t>
      </w:r>
      <w:bookmarkStart w:id="0" w:name="_GoBack"/>
      <w:bookmarkEnd w:id="0"/>
      <w:r w:rsidRPr="00D77F71">
        <w:rPr>
          <w:rFonts w:eastAsia="Times New Roman" w:cstheme="minorHAnsi"/>
          <w:color w:val="231F20"/>
          <w:sz w:val="24"/>
          <w:szCs w:val="24"/>
        </w:rPr>
        <w:t>EPA estimates that 10 to 20 percent of a person’s potential exposure to lead may come from drinking water. Infants who consume mostly formula mixed with lead-containing water can receive 40 to 60 percent of their exposure to lead from drinking water.</w:t>
      </w:r>
    </w:p>
    <w:p w:rsidR="00F703D9" w:rsidRDefault="00F703D9" w:rsidP="00AE2A9D">
      <w:pPr>
        <w:pStyle w:val="NormalWeb"/>
        <w:spacing w:before="0" w:beforeAutospacing="0" w:afterAutospacing="0"/>
        <w:rPr>
          <w:rFonts w:asciiTheme="majorHAnsi" w:hAnsiTheme="majorHAnsi" w:cs="Times"/>
          <w:iCs/>
          <w:color w:val="231F20"/>
        </w:rPr>
      </w:pPr>
    </w:p>
    <w:p w:rsidR="00ED6A08" w:rsidRDefault="00ED6A08" w:rsidP="00AE2A9D">
      <w:pPr>
        <w:pStyle w:val="NormalWeb"/>
        <w:spacing w:before="0" w:beforeAutospacing="0" w:afterAutospacing="0"/>
        <w:rPr>
          <w:rFonts w:asciiTheme="majorHAnsi" w:hAnsiTheme="majorHAnsi"/>
          <w:b/>
          <w:u w:val="single"/>
        </w:rPr>
      </w:pPr>
    </w:p>
    <w:p w:rsidR="00D77F71" w:rsidRDefault="00D77F71" w:rsidP="00AE2A9D">
      <w:pPr>
        <w:pStyle w:val="NormalWeb"/>
        <w:spacing w:before="0" w:beforeAutospacing="0" w:afterAutospacing="0"/>
        <w:rPr>
          <w:rFonts w:asciiTheme="majorHAnsi" w:hAnsiTheme="majorHAnsi"/>
          <w:b/>
          <w:u w:val="single"/>
        </w:rPr>
      </w:pPr>
    </w:p>
    <w:p w:rsidR="00ED6A08" w:rsidRDefault="00F703D9" w:rsidP="00AE2A9D">
      <w:pPr>
        <w:pStyle w:val="NormalWeb"/>
        <w:spacing w:before="0" w:beforeAutospacing="0" w:afterAutospacing="0"/>
        <w:rPr>
          <w:rFonts w:asciiTheme="majorHAnsi" w:hAnsiTheme="majorHAnsi"/>
        </w:rPr>
      </w:pPr>
      <w:r w:rsidRPr="00F703D9">
        <w:rPr>
          <w:rFonts w:asciiTheme="majorHAnsi" w:hAnsiTheme="majorHAnsi"/>
          <w:b/>
          <w:u w:val="single"/>
        </w:rPr>
        <w:lastRenderedPageBreak/>
        <w:t xml:space="preserve">How </w:t>
      </w:r>
      <w:r w:rsidR="000D21FB">
        <w:rPr>
          <w:rFonts w:asciiTheme="majorHAnsi" w:hAnsiTheme="majorHAnsi"/>
          <w:b/>
          <w:u w:val="single"/>
        </w:rPr>
        <w:t xml:space="preserve">can I reduce exposure to lead copper </w:t>
      </w:r>
      <w:r w:rsidRPr="00F703D9">
        <w:rPr>
          <w:rFonts w:asciiTheme="majorHAnsi" w:hAnsiTheme="majorHAnsi"/>
          <w:b/>
          <w:u w:val="single"/>
        </w:rPr>
        <w:t>in drinking water?</w:t>
      </w:r>
      <w:r w:rsidRPr="00F703D9">
        <w:rPr>
          <w:rFonts w:asciiTheme="majorHAnsi" w:hAnsiTheme="majorHAnsi"/>
        </w:rPr>
        <w:t xml:space="preserve"> </w:t>
      </w:r>
    </w:p>
    <w:p w:rsidR="00F703D9" w:rsidRPr="00D77F71" w:rsidRDefault="002F5B18" w:rsidP="00F703D9">
      <w:pPr>
        <w:pStyle w:val="NormalWeb"/>
        <w:numPr>
          <w:ilvl w:val="0"/>
          <w:numId w:val="1"/>
        </w:numPr>
        <w:spacing w:before="0" w:beforeAutospacing="0" w:afterAutospacing="0"/>
        <w:rPr>
          <w:rFonts w:asciiTheme="minorHAnsi" w:hAnsiTheme="minorHAnsi" w:cstheme="minorHAnsi"/>
        </w:rPr>
      </w:pPr>
      <w:r w:rsidRPr="00D77F71">
        <w:rPr>
          <w:rFonts w:asciiTheme="minorHAnsi" w:hAnsiTheme="minorHAnsi" w:cstheme="minorHAnsi"/>
          <w:color w:val="000000"/>
        </w:rPr>
        <w:t>When your water has been sitting for several hours, flush the pipe by running the cold- water tap until the water is noticeably colder before using the water for drinking or cooking. (The longer water has been sitting in the pipes, the more dissolved metals it may contain).</w:t>
      </w:r>
      <w:r w:rsidR="00F703D9" w:rsidRPr="00D77F71">
        <w:rPr>
          <w:rFonts w:asciiTheme="minorHAnsi" w:hAnsiTheme="minorHAnsi" w:cstheme="minorHAnsi"/>
        </w:rPr>
        <w:t xml:space="preserve">Use cold water for drinking and cooking. Because hot water dissolves more copper than cold water, limit consumption of water from the hot water tap. </w:t>
      </w:r>
    </w:p>
    <w:p w:rsidR="00F703D9" w:rsidRPr="00D77F71" w:rsidRDefault="00F703D9" w:rsidP="00F703D9">
      <w:pPr>
        <w:pStyle w:val="NormalWeb"/>
        <w:numPr>
          <w:ilvl w:val="0"/>
          <w:numId w:val="1"/>
        </w:numPr>
        <w:spacing w:before="0" w:beforeAutospacing="0" w:afterAutospacing="0"/>
        <w:rPr>
          <w:rFonts w:asciiTheme="minorHAnsi" w:hAnsiTheme="minorHAnsi" w:cstheme="minorHAnsi"/>
        </w:rPr>
      </w:pPr>
      <w:r w:rsidRPr="00D77F71">
        <w:rPr>
          <w:rFonts w:asciiTheme="minorHAnsi" w:hAnsiTheme="minorHAnsi" w:cstheme="minorHAnsi"/>
        </w:rPr>
        <w:t>Do not use the hot-water tap to make baby formula.</w:t>
      </w:r>
    </w:p>
    <w:p w:rsidR="00F703D9" w:rsidRPr="00D77F71" w:rsidRDefault="00F703D9" w:rsidP="00F703D9">
      <w:pPr>
        <w:pStyle w:val="NormalWeb"/>
        <w:numPr>
          <w:ilvl w:val="0"/>
          <w:numId w:val="1"/>
        </w:numPr>
        <w:spacing w:before="0" w:beforeAutospacing="0" w:afterAutospacing="0"/>
        <w:rPr>
          <w:rFonts w:asciiTheme="minorHAnsi" w:hAnsiTheme="minorHAnsi" w:cstheme="minorHAnsi"/>
          <w:iCs/>
          <w:color w:val="231F20"/>
        </w:rPr>
      </w:pPr>
      <w:r w:rsidRPr="00D77F71">
        <w:rPr>
          <w:rFonts w:asciiTheme="minorHAnsi" w:hAnsiTheme="minorHAnsi" w:cstheme="minorHAnsi"/>
        </w:rPr>
        <w:t>Do not boil</w:t>
      </w:r>
      <w:r w:rsidR="00C94D24" w:rsidRPr="00D77F71">
        <w:rPr>
          <w:rFonts w:asciiTheme="minorHAnsi" w:hAnsiTheme="minorHAnsi" w:cstheme="minorHAnsi"/>
        </w:rPr>
        <w:t xml:space="preserve"> the water</w:t>
      </w:r>
      <w:r w:rsidRPr="00D77F71">
        <w:rPr>
          <w:rFonts w:asciiTheme="minorHAnsi" w:hAnsiTheme="minorHAnsi" w:cstheme="minorHAnsi"/>
        </w:rPr>
        <w:t xml:space="preserve">. Boiling water does not reduce </w:t>
      </w:r>
      <w:r w:rsidR="00455EBC" w:rsidRPr="00D77F71">
        <w:rPr>
          <w:rFonts w:asciiTheme="minorHAnsi" w:hAnsiTheme="minorHAnsi" w:cstheme="minorHAnsi"/>
        </w:rPr>
        <w:t xml:space="preserve">lead or </w:t>
      </w:r>
      <w:r w:rsidRPr="00D77F71">
        <w:rPr>
          <w:rFonts w:asciiTheme="minorHAnsi" w:hAnsiTheme="minorHAnsi" w:cstheme="minorHAnsi"/>
        </w:rPr>
        <w:t>copper</w:t>
      </w:r>
    </w:p>
    <w:p w:rsidR="00F703D9" w:rsidRPr="00D77F71" w:rsidRDefault="00063B6E" w:rsidP="00F703D9">
      <w:pPr>
        <w:pStyle w:val="NormalWeb"/>
        <w:numPr>
          <w:ilvl w:val="0"/>
          <w:numId w:val="1"/>
        </w:numPr>
        <w:spacing w:before="0" w:beforeAutospacing="0" w:afterAutospacing="0"/>
        <w:rPr>
          <w:rFonts w:asciiTheme="minorHAnsi" w:hAnsiTheme="minorHAnsi" w:cstheme="minorHAnsi"/>
          <w:iCs/>
          <w:color w:val="231F20"/>
        </w:rPr>
      </w:pPr>
      <w:r w:rsidRPr="00D77F71">
        <w:rPr>
          <w:rFonts w:asciiTheme="minorHAnsi" w:hAnsiTheme="minorHAnsi" w:cstheme="minorHAnsi"/>
        </w:rPr>
        <w:t>T</w:t>
      </w:r>
      <w:r w:rsidR="00F703D9" w:rsidRPr="00D77F71">
        <w:rPr>
          <w:rFonts w:asciiTheme="minorHAnsi" w:hAnsiTheme="minorHAnsi" w:cstheme="minorHAnsi"/>
        </w:rPr>
        <w:t>est your drinking water for lead and copper</w:t>
      </w:r>
      <w:r w:rsidRPr="00D77F71">
        <w:rPr>
          <w:rFonts w:asciiTheme="minorHAnsi" w:hAnsiTheme="minorHAnsi" w:cstheme="minorHAnsi"/>
        </w:rPr>
        <w:t xml:space="preserve"> (Call**Water System Number** for testing information)</w:t>
      </w:r>
    </w:p>
    <w:p w:rsidR="00ED6A08" w:rsidRPr="00D77F71" w:rsidRDefault="00ED6A08" w:rsidP="00F703D9">
      <w:pPr>
        <w:pStyle w:val="NormalWeb"/>
        <w:numPr>
          <w:ilvl w:val="0"/>
          <w:numId w:val="1"/>
        </w:numPr>
        <w:spacing w:before="0" w:beforeAutospacing="0" w:afterAutospacing="0"/>
        <w:rPr>
          <w:rFonts w:asciiTheme="minorHAnsi" w:hAnsiTheme="minorHAnsi" w:cstheme="minorHAnsi"/>
          <w:iCs/>
          <w:color w:val="231F20"/>
        </w:rPr>
      </w:pPr>
      <w:r w:rsidRPr="00D77F71">
        <w:rPr>
          <w:rFonts w:asciiTheme="minorHAnsi" w:hAnsiTheme="minorHAnsi" w:cstheme="minorHAnsi"/>
          <w:color w:val="231F20"/>
        </w:rPr>
        <w:t>Identify and replace plumbing fixtures containing lead. Brass faucets, fittings, and valves, including those advertised as “lead-free,” may contribute lead to drinking water. Prior to 2014 laws allowed end-use brass fixtures, such as faucets, with up to 8% lead to be labeled as “lead free.” Visit the NSF Web site at www.nsf.org to learn more about lead-containing plumbing fixtures.</w:t>
      </w:r>
    </w:p>
    <w:p w:rsidR="00F703D9" w:rsidRPr="00D77F71" w:rsidRDefault="00ED6A08" w:rsidP="00F703D9">
      <w:pPr>
        <w:pStyle w:val="NormalWeb"/>
        <w:numPr>
          <w:ilvl w:val="0"/>
          <w:numId w:val="1"/>
        </w:numPr>
        <w:spacing w:before="0" w:beforeAutospacing="0" w:afterAutospacing="0"/>
        <w:rPr>
          <w:rFonts w:asciiTheme="minorHAnsi" w:hAnsiTheme="minorHAnsi" w:cstheme="minorHAnsi"/>
          <w:iCs/>
          <w:color w:val="231F20"/>
        </w:rPr>
      </w:pPr>
      <w:r w:rsidRPr="00D77F71">
        <w:rPr>
          <w:rFonts w:asciiTheme="minorHAnsi" w:hAnsiTheme="minorHAnsi" w:cstheme="minorHAnsi"/>
          <w:color w:val="231F20"/>
        </w:rPr>
        <w:t>Get your child’s blood tested. Contact your local health department or healthcare provider to find out how you can get your child tested for lead, if you are concerned about exposure.</w:t>
      </w:r>
      <w:r w:rsidR="00063B6E" w:rsidRPr="00D77F71">
        <w:rPr>
          <w:rFonts w:asciiTheme="minorHAnsi" w:hAnsiTheme="minorHAnsi" w:cstheme="minorHAnsi"/>
          <w:iCs/>
          <w:color w:val="231F20"/>
        </w:rPr>
        <w:t xml:space="preserve"> </w:t>
      </w:r>
    </w:p>
    <w:p w:rsidR="00063B6E" w:rsidRDefault="00063B6E" w:rsidP="00063B6E">
      <w:pPr>
        <w:pStyle w:val="NormalWeb"/>
        <w:spacing w:before="0" w:beforeAutospacing="0" w:afterAutospacing="0"/>
        <w:ind w:left="360"/>
        <w:rPr>
          <w:rFonts w:asciiTheme="majorHAnsi" w:hAnsiTheme="majorHAnsi" w:cs="Times"/>
          <w:iCs/>
          <w:color w:val="231F20"/>
        </w:rPr>
      </w:pPr>
    </w:p>
    <w:p w:rsidR="00C94D24" w:rsidRDefault="00C94D24" w:rsidP="00063B6E">
      <w:pPr>
        <w:pStyle w:val="NormalWeb"/>
        <w:spacing w:before="0" w:beforeAutospacing="0" w:afterAutospacing="0"/>
        <w:rPr>
          <w:rFonts w:asciiTheme="majorHAnsi" w:hAnsiTheme="majorHAnsi" w:cs="Times"/>
          <w:b/>
          <w:iCs/>
          <w:color w:val="231F20"/>
          <w:u w:val="single"/>
        </w:rPr>
      </w:pPr>
    </w:p>
    <w:p w:rsidR="00C94D24" w:rsidRDefault="00C94D24" w:rsidP="00063B6E">
      <w:pPr>
        <w:pStyle w:val="NormalWeb"/>
        <w:spacing w:before="0" w:beforeAutospacing="0" w:afterAutospacing="0"/>
        <w:rPr>
          <w:rFonts w:asciiTheme="majorHAnsi" w:hAnsiTheme="majorHAnsi" w:cs="Times"/>
          <w:b/>
          <w:iCs/>
          <w:color w:val="231F20"/>
          <w:u w:val="single"/>
        </w:rPr>
      </w:pPr>
    </w:p>
    <w:p w:rsidR="00063B6E" w:rsidRDefault="00063B6E" w:rsidP="00063B6E">
      <w:pPr>
        <w:pStyle w:val="NormalWeb"/>
        <w:spacing w:before="0" w:beforeAutospacing="0" w:afterAutospacing="0"/>
        <w:rPr>
          <w:rFonts w:asciiTheme="majorHAnsi" w:hAnsiTheme="majorHAnsi" w:cs="Times"/>
          <w:b/>
          <w:iCs/>
          <w:color w:val="231F20"/>
          <w:u w:val="single"/>
        </w:rPr>
      </w:pPr>
      <w:r w:rsidRPr="00063B6E">
        <w:rPr>
          <w:rFonts w:asciiTheme="majorHAnsi" w:hAnsiTheme="majorHAnsi" w:cs="Times"/>
          <w:b/>
          <w:iCs/>
          <w:color w:val="231F20"/>
          <w:u w:val="single"/>
        </w:rPr>
        <w:t>What is being done?</w:t>
      </w:r>
    </w:p>
    <w:p w:rsidR="003B1B93" w:rsidRDefault="003B1B93" w:rsidP="00063B6E">
      <w:pPr>
        <w:pStyle w:val="NormalWeb"/>
        <w:spacing w:before="0" w:beforeAutospacing="0" w:afterAutospacing="0"/>
        <w:rPr>
          <w:rFonts w:asciiTheme="majorHAnsi" w:hAnsiTheme="majorHAnsi" w:cs="Times"/>
          <w:b/>
          <w:iCs/>
          <w:color w:val="231F20"/>
          <w:u w:val="single"/>
        </w:rPr>
      </w:pPr>
    </w:p>
    <w:p w:rsidR="00063B6E" w:rsidRPr="00063B6E" w:rsidRDefault="003B1B93" w:rsidP="00063B6E">
      <w:pPr>
        <w:pStyle w:val="NormalWeb"/>
        <w:spacing w:before="0" w:beforeAutospacing="0" w:afterAutospacing="0"/>
        <w:rPr>
          <w:rFonts w:asciiTheme="majorHAnsi" w:hAnsiTheme="majorHAnsi" w:cs="Times"/>
          <w:iCs/>
          <w:color w:val="231F20"/>
        </w:rPr>
      </w:pPr>
      <w:r>
        <w:rPr>
          <w:rFonts w:asciiTheme="majorHAnsi" w:hAnsiTheme="majorHAnsi" w:cs="Times"/>
          <w:iCs/>
          <w:color w:val="231F20"/>
        </w:rPr>
        <w:t>** Insert information about what happene</w:t>
      </w:r>
      <w:r w:rsidR="00C94D24">
        <w:rPr>
          <w:rFonts w:asciiTheme="majorHAnsi" w:hAnsiTheme="majorHAnsi" w:cs="Times"/>
          <w:iCs/>
          <w:color w:val="231F20"/>
        </w:rPr>
        <w:t>d and what your system is doing including timeframes for remediation steps</w:t>
      </w:r>
      <w:r>
        <w:rPr>
          <w:rFonts w:asciiTheme="majorHAnsi" w:hAnsiTheme="majorHAnsi" w:cs="Times"/>
          <w:iCs/>
          <w:color w:val="231F20"/>
        </w:rPr>
        <w:t>**</w:t>
      </w:r>
    </w:p>
    <w:p w:rsidR="00CC2E61" w:rsidRDefault="00CC2E61" w:rsidP="00AE2A9D">
      <w:pPr>
        <w:pStyle w:val="NormalWeb"/>
        <w:spacing w:before="0" w:beforeAutospacing="0" w:afterAutospacing="0"/>
        <w:rPr>
          <w:rFonts w:asciiTheme="majorHAnsi" w:hAnsiTheme="majorHAnsi" w:cs="Times"/>
          <w:iCs/>
          <w:color w:val="231F20"/>
        </w:rPr>
      </w:pPr>
    </w:p>
    <w:p w:rsidR="00CC2E61" w:rsidRPr="00CC2E61" w:rsidRDefault="00CC2E61" w:rsidP="00AE2A9D">
      <w:pPr>
        <w:pStyle w:val="NormalWeb"/>
        <w:spacing w:before="0" w:beforeAutospacing="0" w:afterAutospacing="0"/>
        <w:rPr>
          <w:rFonts w:asciiTheme="majorHAnsi" w:hAnsiTheme="majorHAnsi"/>
        </w:rPr>
      </w:pPr>
    </w:p>
    <w:p w:rsidR="00AE2A9D" w:rsidRDefault="003B1B93" w:rsidP="00AE2A9D">
      <w:pPr>
        <w:rPr>
          <w:b/>
          <w:sz w:val="24"/>
          <w:szCs w:val="24"/>
          <w:u w:val="single"/>
        </w:rPr>
      </w:pPr>
      <w:r w:rsidRPr="003B1B93">
        <w:rPr>
          <w:b/>
          <w:sz w:val="24"/>
          <w:szCs w:val="24"/>
          <w:u w:val="single"/>
        </w:rPr>
        <w:t>For More Information</w:t>
      </w:r>
      <w:r>
        <w:rPr>
          <w:b/>
          <w:sz w:val="24"/>
          <w:szCs w:val="24"/>
          <w:u w:val="single"/>
        </w:rPr>
        <w:t>:</w:t>
      </w:r>
    </w:p>
    <w:p w:rsidR="003B1B93" w:rsidRPr="003B1B93" w:rsidRDefault="003B1B93" w:rsidP="00AE2A9D">
      <w:pPr>
        <w:rPr>
          <w:sz w:val="24"/>
          <w:szCs w:val="24"/>
        </w:rPr>
      </w:pPr>
    </w:p>
    <w:p w:rsidR="003B1B93" w:rsidRDefault="003B1B93" w:rsidP="00AE2A9D">
      <w:pPr>
        <w:rPr>
          <w:sz w:val="24"/>
          <w:szCs w:val="24"/>
        </w:rPr>
      </w:pPr>
      <w:r>
        <w:rPr>
          <w:sz w:val="24"/>
          <w:szCs w:val="24"/>
        </w:rPr>
        <w:t xml:space="preserve">** Give your systems contact information** </w:t>
      </w:r>
    </w:p>
    <w:p w:rsidR="003B1B93" w:rsidRDefault="003B1B93" w:rsidP="00AE2A9D">
      <w:pPr>
        <w:rPr>
          <w:sz w:val="24"/>
          <w:szCs w:val="24"/>
        </w:rPr>
      </w:pPr>
      <w:r>
        <w:rPr>
          <w:sz w:val="24"/>
          <w:szCs w:val="24"/>
        </w:rPr>
        <w:t>Utah Department of Environmental Quality, Division of Drinking Water</w:t>
      </w:r>
    </w:p>
    <w:p w:rsidR="003B1B93" w:rsidRDefault="003B1B93" w:rsidP="00AE2A9D">
      <w:pPr>
        <w:rPr>
          <w:sz w:val="24"/>
          <w:szCs w:val="24"/>
        </w:rPr>
      </w:pPr>
      <w:r>
        <w:rPr>
          <w:sz w:val="24"/>
          <w:szCs w:val="24"/>
        </w:rPr>
        <w:tab/>
        <w:t xml:space="preserve">Lead and Copper Rule Manager Matt </w:t>
      </w:r>
      <w:proofErr w:type="spellStart"/>
      <w:r>
        <w:rPr>
          <w:sz w:val="24"/>
          <w:szCs w:val="24"/>
        </w:rPr>
        <w:t>Wycoff</w:t>
      </w:r>
      <w:proofErr w:type="spellEnd"/>
      <w:r>
        <w:rPr>
          <w:sz w:val="24"/>
          <w:szCs w:val="24"/>
        </w:rPr>
        <w:t xml:space="preserve"> 801-536-0063 or </w:t>
      </w:r>
      <w:hyperlink r:id="rId6" w:history="1">
        <w:r w:rsidRPr="00E668B8">
          <w:rPr>
            <w:rStyle w:val="Hyperlink"/>
            <w:sz w:val="24"/>
            <w:szCs w:val="24"/>
          </w:rPr>
          <w:t>mwycoff@utah.gov</w:t>
        </w:r>
      </w:hyperlink>
    </w:p>
    <w:p w:rsidR="003B1B93" w:rsidRPr="00AE2A9D" w:rsidRDefault="003B1B93" w:rsidP="00AE2A9D">
      <w:pPr>
        <w:rPr>
          <w:sz w:val="24"/>
          <w:szCs w:val="24"/>
        </w:rPr>
      </w:pPr>
    </w:p>
    <w:sectPr w:rsidR="003B1B93" w:rsidRPr="00AE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461AA"/>
    <w:multiLevelType w:val="hybridMultilevel"/>
    <w:tmpl w:val="C04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9D"/>
    <w:rsid w:val="00063B6E"/>
    <w:rsid w:val="00080AE6"/>
    <w:rsid w:val="000D21FB"/>
    <w:rsid w:val="0018270C"/>
    <w:rsid w:val="002F5B18"/>
    <w:rsid w:val="003B1B93"/>
    <w:rsid w:val="004033F1"/>
    <w:rsid w:val="00455EBC"/>
    <w:rsid w:val="00996BC8"/>
    <w:rsid w:val="009B1580"/>
    <w:rsid w:val="00AE2A9D"/>
    <w:rsid w:val="00BA6625"/>
    <w:rsid w:val="00C94D24"/>
    <w:rsid w:val="00CC2E61"/>
    <w:rsid w:val="00D77F71"/>
    <w:rsid w:val="00DF44E2"/>
    <w:rsid w:val="00ED6A08"/>
    <w:rsid w:val="00EF7182"/>
    <w:rsid w:val="00F34218"/>
    <w:rsid w:val="00F7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1B93"/>
    <w:rPr>
      <w:color w:val="0000FF" w:themeColor="hyperlink"/>
      <w:u w:val="single"/>
    </w:rPr>
  </w:style>
  <w:style w:type="table" w:styleId="TableGrid">
    <w:name w:val="Table Grid"/>
    <w:basedOn w:val="TableNormal"/>
    <w:uiPriority w:val="59"/>
    <w:rsid w:val="000D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1B93"/>
    <w:rPr>
      <w:color w:val="0000FF" w:themeColor="hyperlink"/>
      <w:u w:val="single"/>
    </w:rPr>
  </w:style>
  <w:style w:type="table" w:styleId="TableGrid">
    <w:name w:val="Table Grid"/>
    <w:basedOn w:val="TableNormal"/>
    <w:uiPriority w:val="59"/>
    <w:rsid w:val="000D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7094">
      <w:bodyDiv w:val="1"/>
      <w:marLeft w:val="0"/>
      <w:marRight w:val="0"/>
      <w:marTop w:val="0"/>
      <w:marBottom w:val="0"/>
      <w:divBdr>
        <w:top w:val="none" w:sz="0" w:space="0" w:color="auto"/>
        <w:left w:val="none" w:sz="0" w:space="0" w:color="auto"/>
        <w:bottom w:val="none" w:sz="0" w:space="0" w:color="auto"/>
        <w:right w:val="none" w:sz="0" w:space="0" w:color="auto"/>
      </w:divBdr>
    </w:div>
    <w:div w:id="1939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ycoff@uta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Wycoff</dc:creator>
  <cp:lastModifiedBy>Matthew Wycoff</cp:lastModifiedBy>
  <cp:revision>2</cp:revision>
  <cp:lastPrinted>2019-02-15T19:53:00Z</cp:lastPrinted>
  <dcterms:created xsi:type="dcterms:W3CDTF">2019-02-19T17:48:00Z</dcterms:created>
  <dcterms:modified xsi:type="dcterms:W3CDTF">2019-02-19T17:48:00Z</dcterms:modified>
</cp:coreProperties>
</file>